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B3CEC" w:rsidR="00A64A73" w:rsidP="00A64A73" w:rsidRDefault="00A64A73" w14:paraId="3546D1C6" w14:textId="77777777">
      <w:pPr>
        <w:spacing w:after="160" w:line="259" w:lineRule="auto"/>
        <w:rPr>
          <w:rFonts w:asciiTheme="minorHAnsi" w:hAnsiTheme="minorHAnsi" w:cstheme="minorHAnsi"/>
          <w:b/>
          <w:bCs/>
          <w:sz w:val="28"/>
          <w:szCs w:val="28"/>
        </w:rPr>
      </w:pPr>
      <w:bookmarkStart w:name="_GoBack" w:id="0"/>
      <w:bookmarkEnd w:id="0"/>
      <w:r w:rsidRPr="001B3CEC">
        <w:rPr>
          <w:rFonts w:asciiTheme="minorHAnsi" w:hAnsiTheme="minorHAnsi" w:cstheme="minorHAnsi"/>
          <w:b/>
          <w:bCs/>
          <w:sz w:val="28"/>
          <w:szCs w:val="28"/>
        </w:rPr>
        <w:t>Attachment A:  Proposed action additional information</w:t>
      </w:r>
    </w:p>
    <w:p w:rsidRPr="001B3CEC" w:rsidR="00A64A73" w:rsidP="00A64A73" w:rsidRDefault="00A64A73" w14:paraId="78EA6C8C" w14:textId="77777777">
      <w:pPr>
        <w:spacing w:before="60"/>
        <w:rPr>
          <w:rFonts w:asciiTheme="minorHAnsi" w:hAnsiTheme="minorHAnsi" w:cstheme="minorBidi"/>
        </w:rPr>
      </w:pPr>
      <w:r w:rsidRPr="001B3CEC">
        <w:rPr>
          <w:rFonts w:asciiTheme="minorHAnsi" w:hAnsiTheme="minorHAnsi" w:cstheme="minorBidi"/>
        </w:rPr>
        <w:t>Further information in relation to the Key features is provided below:</w:t>
      </w:r>
    </w:p>
    <w:p w:rsidRPr="001B3CEC" w:rsidR="00A64A73" w:rsidP="00A64A73" w:rsidRDefault="00A64A73" w14:paraId="54532BF9" w14:textId="77777777">
      <w:pPr>
        <w:spacing w:after="160" w:line="259" w:lineRule="auto"/>
        <w:ind w:left="720"/>
        <w:rPr>
          <w:rFonts w:asciiTheme="minorHAnsi" w:hAnsiTheme="minorHAnsi" w:cstheme="minorBidi"/>
        </w:rPr>
      </w:pPr>
    </w:p>
    <w:tbl>
      <w:tblPr>
        <w:tblStyle w:val="TableGrid"/>
        <w:tblW w:w="0" w:type="auto"/>
        <w:tblInd w:w="720" w:type="dxa"/>
        <w:tblLook w:val="04A0" w:firstRow="1" w:lastRow="0" w:firstColumn="1" w:lastColumn="0" w:noHBand="0" w:noVBand="1"/>
      </w:tblPr>
      <w:tblGrid>
        <w:gridCol w:w="6901"/>
        <w:gridCol w:w="6939"/>
      </w:tblGrid>
      <w:tr w:rsidRPr="001B3CEC" w:rsidR="00A64A73" w:rsidTr="4EA1270A" w14:paraId="2729DACC" w14:textId="77777777">
        <w:trPr>
          <w:tblHeader/>
        </w:trPr>
        <w:tc>
          <w:tcPr>
            <w:tcW w:w="6901" w:type="dxa"/>
            <w:shd w:val="clear" w:color="auto" w:fill="BDD6EE" w:themeFill="accent5" w:themeFillTint="66"/>
            <w:tcMar/>
          </w:tcPr>
          <w:p w:rsidRPr="001B3CEC" w:rsidR="00A64A73" w:rsidP="00C32233" w:rsidRDefault="00A64A73" w14:paraId="15CAC5B4" w14:textId="77777777">
            <w:pPr>
              <w:spacing w:after="160" w:line="259" w:lineRule="auto"/>
              <w:rPr>
                <w:rFonts w:asciiTheme="minorHAnsi" w:hAnsiTheme="minorHAnsi" w:cstheme="minorBidi"/>
                <w:b/>
                <w:bCs/>
              </w:rPr>
            </w:pPr>
            <w:r w:rsidRPr="001B3CEC">
              <w:rPr>
                <w:rFonts w:asciiTheme="minorHAnsi" w:hAnsiTheme="minorHAnsi" w:cstheme="minorBidi"/>
                <w:b/>
                <w:bCs/>
              </w:rPr>
              <w:t>Proposed action key features</w:t>
            </w:r>
          </w:p>
        </w:tc>
        <w:tc>
          <w:tcPr>
            <w:tcW w:w="6939" w:type="dxa"/>
            <w:shd w:val="clear" w:color="auto" w:fill="BDD6EE" w:themeFill="accent5" w:themeFillTint="66"/>
            <w:tcMar/>
          </w:tcPr>
          <w:p w:rsidRPr="001B3CEC" w:rsidR="00A64A73" w:rsidP="00C32233" w:rsidRDefault="00A64A73" w14:paraId="1F0F407E" w14:textId="77777777">
            <w:pPr>
              <w:spacing w:after="160" w:line="259" w:lineRule="auto"/>
              <w:rPr>
                <w:rFonts w:asciiTheme="minorHAnsi" w:hAnsiTheme="minorHAnsi" w:cstheme="minorBidi"/>
                <w:b/>
                <w:bCs/>
              </w:rPr>
            </w:pPr>
            <w:r w:rsidRPr="001B3CEC">
              <w:rPr>
                <w:rFonts w:asciiTheme="minorHAnsi" w:hAnsiTheme="minorHAnsi" w:cstheme="minorBidi"/>
                <w:b/>
                <w:bCs/>
              </w:rPr>
              <w:t xml:space="preserve">Further description of key features </w:t>
            </w:r>
          </w:p>
        </w:tc>
      </w:tr>
      <w:tr w:rsidRPr="001B3CEC" w:rsidR="00A64A73" w:rsidTr="4EA1270A" w14:paraId="20C66941" w14:textId="77777777">
        <w:tc>
          <w:tcPr>
            <w:tcW w:w="6901" w:type="dxa"/>
            <w:tcMar/>
          </w:tcPr>
          <w:p w:rsidRPr="001B3CEC" w:rsidR="00A64A73" w:rsidP="00C32233" w:rsidRDefault="00A64A73" w14:paraId="0BBB805B" w14:textId="77777777">
            <w:pPr>
              <w:spacing w:after="160" w:line="259" w:lineRule="auto"/>
              <w:rPr>
                <w:rFonts w:asciiTheme="minorHAnsi" w:hAnsiTheme="minorHAnsi" w:cstheme="minorBidi"/>
              </w:rPr>
            </w:pPr>
            <w:r w:rsidRPr="001B3CEC">
              <w:rPr>
                <w:rFonts w:asciiTheme="minorHAnsi" w:hAnsiTheme="minorHAnsi" w:cstheme="minorBidi"/>
              </w:rPr>
              <w:t>Duplication of approximately 20km of rail corridor and upgrades to associated rail systems between Kuraby and Beenleigh Stations resulting in an increase from two tracks to four tracks.</w:t>
            </w:r>
          </w:p>
          <w:p w:rsidRPr="001B3CEC" w:rsidR="00A64A73" w:rsidP="00C32233" w:rsidRDefault="00A64A73" w14:paraId="3337D809" w14:textId="77777777">
            <w:pPr>
              <w:spacing w:after="160" w:line="259" w:lineRule="auto"/>
              <w:rPr>
                <w:rFonts w:asciiTheme="minorHAnsi" w:hAnsiTheme="minorHAnsi" w:cstheme="minorBidi"/>
              </w:rPr>
            </w:pPr>
          </w:p>
        </w:tc>
        <w:tc>
          <w:tcPr>
            <w:tcW w:w="6939" w:type="dxa"/>
            <w:tcMar/>
          </w:tcPr>
          <w:p w:rsidRPr="001B3CEC" w:rsidR="00A64A73" w:rsidP="00C32233" w:rsidRDefault="00A64A73" w14:paraId="006794DC" w14:textId="77777777">
            <w:pPr>
              <w:spacing w:after="160" w:line="259" w:lineRule="auto"/>
              <w:rPr>
                <w:rFonts w:asciiTheme="minorHAnsi" w:hAnsiTheme="minorHAnsi" w:cstheme="minorBidi"/>
              </w:rPr>
            </w:pPr>
            <w:r w:rsidRPr="001B3CEC">
              <w:rPr>
                <w:rFonts w:asciiTheme="minorHAnsi" w:hAnsiTheme="minorHAnsi" w:cstheme="minorBidi"/>
              </w:rPr>
              <w:t xml:space="preserve">Twenty kilometres (20km) of rail formation widening and duplication of existing two to four tracks. Requires rail corridor widening and track slews. Rail system upgrades include new overhead wire requirement, traction power upgrades. </w:t>
            </w:r>
          </w:p>
        </w:tc>
      </w:tr>
      <w:tr w:rsidRPr="001B3CEC" w:rsidR="00A64A73" w:rsidTr="4EA1270A" w14:paraId="0DDD4F37" w14:textId="77777777">
        <w:tc>
          <w:tcPr>
            <w:tcW w:w="6901" w:type="dxa"/>
            <w:tcMar/>
          </w:tcPr>
          <w:p w:rsidRPr="001B3CEC" w:rsidR="00A64A73" w:rsidP="00C32233" w:rsidRDefault="00A64A73" w14:paraId="76C0B854" w14:textId="77777777">
            <w:pPr>
              <w:spacing w:after="160" w:line="259" w:lineRule="auto"/>
              <w:rPr>
                <w:rFonts w:asciiTheme="minorHAnsi" w:hAnsiTheme="minorHAnsi" w:cstheme="minorBidi"/>
              </w:rPr>
            </w:pPr>
            <w:r w:rsidRPr="001B3CEC">
              <w:rPr>
                <w:rFonts w:asciiTheme="minorHAnsi" w:hAnsiTheme="minorHAnsi" w:cstheme="minorBidi"/>
              </w:rPr>
              <w:t xml:space="preserve">Eight station upgrades including a station relocation (Trinder Park Station) to improve accessibility, </w:t>
            </w:r>
            <w:proofErr w:type="gramStart"/>
            <w:r w:rsidRPr="001B3CEC">
              <w:rPr>
                <w:rFonts w:asciiTheme="minorHAnsi" w:hAnsiTheme="minorHAnsi" w:cstheme="minorBidi"/>
              </w:rPr>
              <w:t>safety</w:t>
            </w:r>
            <w:proofErr w:type="gramEnd"/>
            <w:r w:rsidRPr="001B3CEC">
              <w:rPr>
                <w:rFonts w:asciiTheme="minorHAnsi" w:hAnsiTheme="minorHAnsi" w:cstheme="minorBidi"/>
              </w:rPr>
              <w:t xml:space="preserve"> and amenity, including platform straightening, and new pedestrian bridges.  </w:t>
            </w:r>
          </w:p>
        </w:tc>
        <w:tc>
          <w:tcPr>
            <w:tcW w:w="6939" w:type="dxa"/>
            <w:tcMar/>
          </w:tcPr>
          <w:p w:rsidRPr="001B3CEC" w:rsidR="00A64A73" w:rsidP="00C32233" w:rsidRDefault="00A64A73" w14:paraId="5A6C754F" w14:textId="77777777">
            <w:pPr>
              <w:spacing w:after="160" w:line="259" w:lineRule="auto"/>
              <w:rPr>
                <w:rFonts w:asciiTheme="minorHAnsi" w:hAnsiTheme="minorHAnsi" w:cstheme="minorBidi"/>
              </w:rPr>
            </w:pPr>
            <w:r w:rsidRPr="001B3CEC">
              <w:rPr>
                <w:rFonts w:asciiTheme="minorHAnsi" w:hAnsiTheme="minorHAnsi" w:cstheme="minorBidi"/>
              </w:rPr>
              <w:t xml:space="preserve">Eight Station upgrades including new island platforms – </w:t>
            </w:r>
            <w:r w:rsidRPr="001B3CEC">
              <w:rPr>
                <w:rFonts w:asciiTheme="minorHAnsi" w:hAnsiTheme="minorHAnsi" w:cstheme="minorBidi"/>
                <w:i/>
                <w:iCs/>
              </w:rPr>
              <w:t>all Disability Discrimination Act 1992</w:t>
            </w:r>
            <w:r w:rsidRPr="001B3CEC">
              <w:rPr>
                <w:rFonts w:asciiTheme="minorHAnsi" w:hAnsiTheme="minorHAnsi" w:cstheme="minorBidi"/>
              </w:rPr>
              <w:t xml:space="preserve"> compliant, new station buildings, new pedestrian overpasses with vertical transport. Updated station accessibility systems including hearing loops, CCTV and help points. Improved rail staff facilities and customer services. Improved primary path of access from the station platforms to the surrounding precinct.</w:t>
            </w:r>
          </w:p>
        </w:tc>
      </w:tr>
      <w:tr w:rsidRPr="001B3CEC" w:rsidR="00A64A73" w:rsidTr="4EA1270A" w14:paraId="50FD13AA" w14:textId="77777777">
        <w:tc>
          <w:tcPr>
            <w:tcW w:w="6901" w:type="dxa"/>
            <w:tcMar/>
          </w:tcPr>
          <w:p w:rsidRPr="001B3CEC" w:rsidR="00A64A73" w:rsidP="00C32233" w:rsidRDefault="00A64A73" w14:paraId="7E349997" w14:textId="77777777">
            <w:pPr>
              <w:spacing w:after="160" w:line="259" w:lineRule="auto"/>
              <w:rPr>
                <w:rFonts w:asciiTheme="minorHAnsi" w:hAnsiTheme="minorHAnsi" w:cstheme="minorBidi"/>
              </w:rPr>
            </w:pPr>
            <w:r w:rsidRPr="001B3CEC">
              <w:rPr>
                <w:rFonts w:asciiTheme="minorHAnsi" w:hAnsiTheme="minorHAnsi" w:cstheme="minorBidi"/>
              </w:rPr>
              <w:t>Park 'n' Ride upgrades, including a new multi-story Park 'n' Ride at Beenleigh Station with an integrated bus interchange</w:t>
            </w:r>
          </w:p>
        </w:tc>
        <w:tc>
          <w:tcPr>
            <w:tcW w:w="6939" w:type="dxa"/>
            <w:tcMar/>
          </w:tcPr>
          <w:p w:rsidRPr="001B3CEC" w:rsidR="00A64A73" w:rsidP="00C32233" w:rsidRDefault="00A64A73" w14:paraId="42F520EE" w14:textId="77777777">
            <w:pPr>
              <w:spacing w:after="160" w:line="259" w:lineRule="auto"/>
              <w:rPr>
                <w:rFonts w:asciiTheme="minorHAnsi" w:hAnsiTheme="minorHAnsi" w:cstheme="minorBidi"/>
              </w:rPr>
            </w:pPr>
            <w:r w:rsidRPr="001B3CEC">
              <w:rPr>
                <w:rFonts w:asciiTheme="minorHAnsi" w:hAnsiTheme="minorHAnsi" w:cstheme="minorBidi"/>
              </w:rPr>
              <w:t xml:space="preserve">The station upgrades include new park ‘n’ ride facilities including improved bus facilities for transit interchange, new kiss ‘n’ ride facilities, new </w:t>
            </w:r>
            <w:r w:rsidRPr="001B3CEC">
              <w:rPr>
                <w:rFonts w:asciiTheme="minorHAnsi" w:hAnsiTheme="minorHAnsi" w:cstheme="minorBidi"/>
                <w:i/>
                <w:iCs/>
              </w:rPr>
              <w:t>Disability Discrimination Act 1992</w:t>
            </w:r>
            <w:r w:rsidRPr="001B3CEC">
              <w:rPr>
                <w:rFonts w:asciiTheme="minorHAnsi" w:hAnsiTheme="minorHAnsi" w:cstheme="minorBidi"/>
              </w:rPr>
              <w:t xml:space="preserve"> compliant parking, new station entrance with improved pedestrian and traffic access. Beenleigh station includes a multi-storey car park and bus station with improved transit interchange and accessibility to the station via a raised concourse.</w:t>
            </w:r>
          </w:p>
        </w:tc>
      </w:tr>
      <w:tr w:rsidRPr="001B3CEC" w:rsidR="00A64A73" w:rsidTr="4EA1270A" w14:paraId="5AC48C17" w14:textId="77777777">
        <w:tc>
          <w:tcPr>
            <w:tcW w:w="6901" w:type="dxa"/>
            <w:tcMar/>
          </w:tcPr>
          <w:p w:rsidRPr="001B3CEC" w:rsidR="00A64A73" w:rsidP="00C32233" w:rsidRDefault="00A64A73" w14:paraId="17E84C5C" w14:textId="77777777">
            <w:pPr>
              <w:spacing w:after="160" w:line="259" w:lineRule="auto"/>
              <w:rPr>
                <w:rFonts w:asciiTheme="minorHAnsi" w:hAnsiTheme="minorHAnsi" w:cstheme="minorBidi"/>
              </w:rPr>
            </w:pPr>
            <w:r w:rsidRPr="001B3CEC">
              <w:rPr>
                <w:rFonts w:asciiTheme="minorHAnsi" w:hAnsiTheme="minorHAnsi" w:cstheme="minorBidi"/>
              </w:rPr>
              <w:t>Extension of the cattle siding at Holmview Station</w:t>
            </w:r>
          </w:p>
        </w:tc>
        <w:tc>
          <w:tcPr>
            <w:tcW w:w="6939" w:type="dxa"/>
            <w:tcMar/>
          </w:tcPr>
          <w:p w:rsidRPr="001B3CEC" w:rsidR="00A64A73" w:rsidP="00C32233" w:rsidRDefault="00A64A73" w14:paraId="45C6129B" w14:textId="77777777">
            <w:pPr>
              <w:spacing w:after="160" w:line="259" w:lineRule="auto"/>
              <w:rPr>
                <w:rFonts w:asciiTheme="minorHAnsi" w:hAnsiTheme="minorHAnsi" w:cstheme="minorBidi"/>
              </w:rPr>
            </w:pPr>
            <w:r w:rsidRPr="001B3CEC">
              <w:rPr>
                <w:rFonts w:asciiTheme="minorHAnsi" w:hAnsiTheme="minorHAnsi" w:cstheme="minorBidi"/>
              </w:rPr>
              <w:t>Extension of the Holmview abattoir cattle siding to a full length (680m) so that trains can be accommodated without having to be broken in half at a nearby stabling yard improving operations.</w:t>
            </w:r>
          </w:p>
        </w:tc>
      </w:tr>
      <w:tr w:rsidRPr="001B3CEC" w:rsidR="00A64A73" w:rsidTr="4EA1270A" w14:paraId="3E0C817A" w14:textId="77777777">
        <w:tc>
          <w:tcPr>
            <w:tcW w:w="6901" w:type="dxa"/>
            <w:tcMar/>
          </w:tcPr>
          <w:p w:rsidRPr="001B3CEC" w:rsidR="00A64A73" w:rsidP="00C32233" w:rsidRDefault="00A64A73" w14:paraId="413F28A5" w14:textId="77777777">
            <w:pPr>
              <w:spacing w:after="160" w:line="259" w:lineRule="auto"/>
              <w:rPr>
                <w:rFonts w:asciiTheme="minorHAnsi" w:hAnsiTheme="minorHAnsi" w:cstheme="minorBidi"/>
              </w:rPr>
            </w:pPr>
            <w:r w:rsidRPr="001B3CEC">
              <w:rPr>
                <w:rFonts w:asciiTheme="minorHAnsi" w:hAnsiTheme="minorHAnsi" w:cstheme="minorBidi"/>
              </w:rPr>
              <w:lastRenderedPageBreak/>
              <w:t>Potential duplication of the rail tunnel under Beenleigh Town Square</w:t>
            </w:r>
          </w:p>
        </w:tc>
        <w:tc>
          <w:tcPr>
            <w:tcW w:w="6939" w:type="dxa"/>
            <w:tcMar/>
          </w:tcPr>
          <w:p w:rsidRPr="001B3CEC" w:rsidR="00A64A73" w:rsidP="00C32233" w:rsidRDefault="00A64A73" w14:paraId="2F071710" w14:textId="77777777">
            <w:pPr>
              <w:spacing w:after="160" w:line="259" w:lineRule="auto"/>
              <w:rPr>
                <w:rFonts w:asciiTheme="minorHAnsi" w:hAnsiTheme="minorHAnsi" w:cstheme="minorBidi"/>
              </w:rPr>
            </w:pPr>
            <w:r w:rsidRPr="001B3CEC">
              <w:rPr>
                <w:rFonts w:asciiTheme="minorHAnsi" w:hAnsiTheme="minorHAnsi" w:cstheme="minorBidi"/>
              </w:rPr>
              <w:t xml:space="preserve">The corridor widening to accommodate two new tracks may require a new tunnel portal to be constructed adjacent to the existing rail tunnel underneath Beenleigh Town Square. </w:t>
            </w:r>
          </w:p>
        </w:tc>
      </w:tr>
      <w:tr w:rsidRPr="001B3CEC" w:rsidR="00A64A73" w:rsidTr="4EA1270A" w14:paraId="5CBA74BB" w14:textId="77777777">
        <w:tc>
          <w:tcPr>
            <w:tcW w:w="6901" w:type="dxa"/>
            <w:tcMar/>
          </w:tcPr>
          <w:p w:rsidRPr="001B3CEC" w:rsidR="00A64A73" w:rsidP="00C32233" w:rsidRDefault="00A64A73" w14:paraId="00CFF5CC" w14:textId="77777777">
            <w:pPr>
              <w:spacing w:after="160" w:line="259" w:lineRule="auto"/>
              <w:rPr>
                <w:rFonts w:asciiTheme="minorHAnsi" w:hAnsiTheme="minorHAnsi" w:cstheme="minorBidi"/>
              </w:rPr>
            </w:pPr>
            <w:r w:rsidRPr="001B3CEC">
              <w:rPr>
                <w:rFonts w:asciiTheme="minorHAnsi" w:hAnsiTheme="minorHAnsi" w:cstheme="minorBidi"/>
              </w:rPr>
              <w:t>Dedicated active transport facilities and paths along the corridor</w:t>
            </w:r>
          </w:p>
        </w:tc>
        <w:tc>
          <w:tcPr>
            <w:tcW w:w="6939" w:type="dxa"/>
            <w:tcMar/>
          </w:tcPr>
          <w:p w:rsidRPr="001B3CEC" w:rsidR="00A64A73" w:rsidP="00C32233" w:rsidRDefault="00A64A73" w14:paraId="451549BB" w14:textId="77777777">
            <w:pPr>
              <w:spacing w:after="160" w:line="259" w:lineRule="auto"/>
              <w:rPr>
                <w:rFonts w:asciiTheme="minorHAnsi" w:hAnsiTheme="minorHAnsi" w:cstheme="minorBidi"/>
              </w:rPr>
            </w:pPr>
            <w:r w:rsidRPr="001B3CEC">
              <w:rPr>
                <w:rFonts w:asciiTheme="minorHAnsi" w:hAnsiTheme="minorHAnsi" w:cstheme="minorBidi"/>
              </w:rPr>
              <w:t xml:space="preserve">Active transport corridor, generally 6m wide, has been provided along the rail corridor. The active transport corridor (ATC) will alternate between </w:t>
            </w:r>
            <w:proofErr w:type="gramStart"/>
            <w:r w:rsidRPr="001B3CEC">
              <w:rPr>
                <w:rFonts w:asciiTheme="minorHAnsi" w:hAnsiTheme="minorHAnsi" w:cstheme="minorBidi"/>
              </w:rPr>
              <w:t>one  side</w:t>
            </w:r>
            <w:proofErr w:type="gramEnd"/>
            <w:r w:rsidRPr="001B3CEC">
              <w:rPr>
                <w:rFonts w:asciiTheme="minorHAnsi" w:hAnsiTheme="minorHAnsi" w:cstheme="minorBidi"/>
              </w:rPr>
              <w:t xml:space="preserve"> of the corridor to the other at various locations via ATC bridges to maximize catchment and minimise land impacts.</w:t>
            </w:r>
          </w:p>
        </w:tc>
      </w:tr>
      <w:tr w:rsidRPr="001B3CEC" w:rsidR="00A64A73" w:rsidTr="4EA1270A" w14:paraId="4251E801" w14:textId="77777777">
        <w:tc>
          <w:tcPr>
            <w:tcW w:w="6901" w:type="dxa"/>
            <w:tcMar/>
          </w:tcPr>
          <w:p w:rsidRPr="001B3CEC" w:rsidR="00A64A73" w:rsidP="00C32233" w:rsidRDefault="00A64A73" w14:paraId="781D2184" w14:textId="77777777">
            <w:pPr>
              <w:spacing w:after="160" w:line="259" w:lineRule="auto"/>
              <w:rPr>
                <w:rFonts w:asciiTheme="minorHAnsi" w:hAnsiTheme="minorHAnsi" w:cstheme="minorBidi"/>
              </w:rPr>
            </w:pPr>
            <w:r w:rsidRPr="001B3CEC">
              <w:rPr>
                <w:rFonts w:asciiTheme="minorHAnsi" w:hAnsiTheme="minorHAnsi" w:cstheme="minorBidi"/>
              </w:rPr>
              <w:t>Dedicated rail maintenance access road adjacent to project corridor</w:t>
            </w:r>
          </w:p>
        </w:tc>
        <w:tc>
          <w:tcPr>
            <w:tcW w:w="6939" w:type="dxa"/>
            <w:tcMar/>
          </w:tcPr>
          <w:p w:rsidRPr="001B3CEC" w:rsidR="00A64A73" w:rsidP="00C32233" w:rsidRDefault="00A64A73" w14:paraId="109BC143" w14:textId="77777777">
            <w:pPr>
              <w:spacing w:after="160" w:line="259" w:lineRule="auto"/>
              <w:rPr>
                <w:rFonts w:asciiTheme="minorHAnsi" w:hAnsiTheme="minorHAnsi" w:cstheme="minorBidi"/>
              </w:rPr>
            </w:pPr>
            <w:r w:rsidRPr="001B3CEC">
              <w:rPr>
                <w:rFonts w:asciiTheme="minorHAnsi" w:hAnsiTheme="minorHAnsi" w:cstheme="minorBidi"/>
              </w:rPr>
              <w:t>Dedicated rail maintenance access roads (RMAR) have been provided along the corridor for Queensland Rail to gain access to critical infrastructure. 50% of the route has a single RMAR and, land constraints permitting, the other 50% of the corridor has two RMARs either side of the corridor. RMAR have passing bays provided nominally every 200m with access points to the local road network along the corridor.</w:t>
            </w:r>
          </w:p>
        </w:tc>
      </w:tr>
      <w:tr w:rsidRPr="001B3CEC" w:rsidR="00A64A73" w:rsidTr="4EA1270A" w14:paraId="7F73ED5E" w14:textId="77777777">
        <w:tc>
          <w:tcPr>
            <w:tcW w:w="6901" w:type="dxa"/>
            <w:tcMar/>
          </w:tcPr>
          <w:p w:rsidRPr="001B3CEC" w:rsidR="00A64A73" w:rsidP="00C32233" w:rsidRDefault="00A64A73" w14:paraId="5B3E3ED6" w14:textId="77777777">
            <w:pPr>
              <w:spacing w:after="160" w:line="259" w:lineRule="auto"/>
              <w:rPr>
                <w:rFonts w:asciiTheme="minorHAnsi" w:hAnsiTheme="minorHAnsi" w:cstheme="minorBidi"/>
              </w:rPr>
            </w:pPr>
            <w:r w:rsidRPr="001B3CEC">
              <w:rPr>
                <w:rFonts w:asciiTheme="minorHAnsi" w:hAnsiTheme="minorHAnsi" w:cstheme="minorBidi"/>
              </w:rPr>
              <w:t xml:space="preserve">Adjacent local road network alterations associated with the railway duplication </w:t>
            </w:r>
          </w:p>
        </w:tc>
        <w:tc>
          <w:tcPr>
            <w:tcW w:w="6939" w:type="dxa"/>
            <w:tcMar/>
          </w:tcPr>
          <w:p w:rsidRPr="001B3CEC" w:rsidR="00A64A73" w:rsidP="00C32233" w:rsidRDefault="00A64A73" w14:paraId="7DFD74BA" w14:textId="77777777">
            <w:pPr>
              <w:spacing w:after="160" w:line="259" w:lineRule="auto"/>
              <w:rPr>
                <w:rFonts w:asciiTheme="minorHAnsi" w:hAnsiTheme="minorHAnsi" w:cstheme="minorBidi"/>
              </w:rPr>
            </w:pPr>
            <w:r w:rsidRPr="001B3CEC">
              <w:rPr>
                <w:rFonts w:asciiTheme="minorHAnsi" w:hAnsiTheme="minorHAnsi" w:cstheme="minorBidi"/>
              </w:rPr>
              <w:t>Where the widened rail corridor is flanked by local roads, these have been realigned to accommodate the track duplication. Where corridor widening has impacted properties, road alterations have been required to maintain property access, cul-de-sac truncated roads and upgrade some local intersections.</w:t>
            </w:r>
          </w:p>
        </w:tc>
      </w:tr>
      <w:tr w:rsidRPr="001B3CEC" w:rsidR="00A64A73" w:rsidTr="4EA1270A" w14:paraId="007731B7" w14:textId="77777777">
        <w:tc>
          <w:tcPr>
            <w:tcW w:w="6901" w:type="dxa"/>
            <w:tcMar/>
          </w:tcPr>
          <w:p w:rsidRPr="001B3CEC" w:rsidR="00A64A73" w:rsidP="313D8F94" w:rsidRDefault="00A64A73" w14:paraId="1D661B46" w14:textId="0B98AD17">
            <w:pPr>
              <w:spacing w:after="160" w:line="259" w:lineRule="auto"/>
              <w:rPr>
                <w:rFonts w:ascii="Calibri" w:hAnsi="Calibri" w:cs="" w:asciiTheme="minorAscii" w:hAnsiTheme="minorAscii" w:cstheme="minorBidi"/>
              </w:rPr>
            </w:pPr>
            <w:r w:rsidRPr="313D8F94" w:rsidR="00A64A73">
              <w:rPr>
                <w:rFonts w:ascii="Calibri" w:hAnsi="Calibri" w:cs="" w:asciiTheme="minorAscii" w:hAnsiTheme="minorAscii" w:cstheme="minorBidi"/>
              </w:rPr>
              <w:t>Public Utility Plan</w:t>
            </w:r>
            <w:r w:rsidRPr="313D8F94" w:rsidR="20F264DE">
              <w:rPr>
                <w:rFonts w:ascii="Calibri" w:hAnsi="Calibri" w:cs="" w:asciiTheme="minorAscii" w:hAnsiTheme="minorAscii" w:cstheme="minorBidi"/>
              </w:rPr>
              <w:t>t</w:t>
            </w:r>
            <w:r w:rsidRPr="313D8F94" w:rsidR="00A64A73">
              <w:rPr>
                <w:rFonts w:ascii="Calibri" w:hAnsi="Calibri" w:cs="" w:asciiTheme="minorAscii" w:hAnsiTheme="minorAscii" w:cstheme="minorBidi"/>
              </w:rPr>
              <w:t xml:space="preserve"> (PUP) relocations</w:t>
            </w:r>
          </w:p>
        </w:tc>
        <w:tc>
          <w:tcPr>
            <w:tcW w:w="6939" w:type="dxa"/>
            <w:tcMar/>
          </w:tcPr>
          <w:p w:rsidRPr="001B3CEC" w:rsidR="00A64A73" w:rsidP="00C32233" w:rsidRDefault="00A64A73" w14:paraId="71310419" w14:textId="77777777">
            <w:pPr>
              <w:spacing w:before="60"/>
              <w:rPr>
                <w:rFonts w:asciiTheme="minorHAnsi" w:hAnsiTheme="minorHAnsi" w:cstheme="minorBidi"/>
              </w:rPr>
            </w:pPr>
            <w:r w:rsidRPr="001B3CEC">
              <w:rPr>
                <w:rFonts w:asciiTheme="minorHAnsi" w:hAnsiTheme="minorHAnsi" w:cstheme="minorBidi"/>
              </w:rPr>
              <w:t xml:space="preserve">The Public Utility Plant (PUP) activities will include the relocation or protection of existing overhead and underground telecommunications, gas, electricity, </w:t>
            </w:r>
            <w:proofErr w:type="gramStart"/>
            <w:r w:rsidRPr="001B3CEC">
              <w:rPr>
                <w:rFonts w:asciiTheme="minorHAnsi" w:hAnsiTheme="minorHAnsi" w:cstheme="minorBidi"/>
              </w:rPr>
              <w:t>water</w:t>
            </w:r>
            <w:proofErr w:type="gramEnd"/>
            <w:r w:rsidRPr="001B3CEC">
              <w:rPr>
                <w:rFonts w:asciiTheme="minorHAnsi" w:hAnsiTheme="minorHAnsi" w:cstheme="minorBidi"/>
              </w:rPr>
              <w:t xml:space="preserve"> and sewerage assets including pipes, pits, conduits, cables/wires, poles and pump stations. PUP works include connections to stations and associated rail infrastructure. PUP assets are traditionally located within defined road corridors, </w:t>
            </w:r>
            <w:proofErr w:type="gramStart"/>
            <w:r w:rsidRPr="001B3CEC">
              <w:rPr>
                <w:rFonts w:asciiTheme="minorHAnsi" w:hAnsiTheme="minorHAnsi" w:cstheme="minorBidi"/>
              </w:rPr>
              <w:t>easements</w:t>
            </w:r>
            <w:proofErr w:type="gramEnd"/>
            <w:r w:rsidRPr="001B3CEC">
              <w:rPr>
                <w:rFonts w:asciiTheme="minorHAnsi" w:hAnsiTheme="minorHAnsi" w:cstheme="minorBidi"/>
              </w:rPr>
              <w:t xml:space="preserve"> or transverse crossings of the rail corridor.  </w:t>
            </w:r>
          </w:p>
        </w:tc>
      </w:tr>
      <w:tr w:rsidRPr="001B3CEC" w:rsidR="00A64A73" w:rsidTr="4EA1270A" w14:paraId="41078F17" w14:textId="77777777">
        <w:tc>
          <w:tcPr>
            <w:tcW w:w="6901" w:type="dxa"/>
            <w:tcMar/>
          </w:tcPr>
          <w:p w:rsidRPr="001B3CEC" w:rsidR="00A64A73" w:rsidP="00C32233" w:rsidRDefault="00A64A73" w14:paraId="77BAEC0E" w14:textId="77777777">
            <w:pPr>
              <w:spacing w:after="160" w:line="259" w:lineRule="auto"/>
              <w:rPr>
                <w:rFonts w:asciiTheme="minorHAnsi" w:hAnsiTheme="minorHAnsi" w:cstheme="minorBidi"/>
              </w:rPr>
            </w:pPr>
            <w:r w:rsidRPr="001B3CEC">
              <w:rPr>
                <w:rFonts w:asciiTheme="minorHAnsi" w:hAnsiTheme="minorHAnsi" w:cstheme="minorBidi"/>
              </w:rPr>
              <w:t xml:space="preserve">Removal of a rail level crossing at </w:t>
            </w:r>
            <w:proofErr w:type="spellStart"/>
            <w:r w:rsidRPr="001B3CEC">
              <w:rPr>
                <w:rFonts w:asciiTheme="minorHAnsi" w:hAnsiTheme="minorHAnsi" w:cstheme="minorBidi"/>
              </w:rPr>
              <w:t>Spanns</w:t>
            </w:r>
            <w:proofErr w:type="spellEnd"/>
            <w:r w:rsidRPr="001B3CEC">
              <w:rPr>
                <w:rFonts w:asciiTheme="minorHAnsi" w:hAnsiTheme="minorHAnsi" w:cstheme="minorBidi"/>
              </w:rPr>
              <w:t xml:space="preserve"> Road, Holmview</w:t>
            </w:r>
          </w:p>
        </w:tc>
        <w:tc>
          <w:tcPr>
            <w:tcW w:w="6939" w:type="dxa"/>
            <w:tcMar/>
          </w:tcPr>
          <w:p w:rsidRPr="001B3CEC" w:rsidR="00A64A73" w:rsidP="75020B6B" w:rsidRDefault="00A64A73" w14:paraId="58FEC63A" w14:textId="47997552">
            <w:pPr>
              <w:spacing w:after="160" w:line="259" w:lineRule="auto"/>
              <w:rPr>
                <w:rFonts w:ascii="Calibri" w:hAnsi="Calibri" w:cs="" w:asciiTheme="minorAscii" w:hAnsiTheme="minorAscii" w:cstheme="minorBidi"/>
              </w:rPr>
            </w:pPr>
            <w:r w:rsidRPr="75020B6B" w:rsidR="00A64A73">
              <w:rPr>
                <w:rFonts w:ascii="Calibri" w:hAnsi="Calibri" w:cs="" w:asciiTheme="minorAscii" w:hAnsiTheme="minorAscii" w:cstheme="minorBidi"/>
              </w:rPr>
              <w:t xml:space="preserve">Given Spann’s Road has low traffic volumes and that there is an alternative access via Boundary Road to residential areas currently serviced by </w:t>
            </w:r>
            <w:proofErr w:type="spellStart"/>
            <w:r w:rsidRPr="75020B6B" w:rsidR="00A64A73">
              <w:rPr>
                <w:rFonts w:ascii="Calibri" w:hAnsi="Calibri" w:cs="" w:asciiTheme="minorAscii" w:hAnsiTheme="minorAscii" w:cstheme="minorBidi"/>
              </w:rPr>
              <w:t>Spanns</w:t>
            </w:r>
            <w:proofErr w:type="spellEnd"/>
            <w:r w:rsidRPr="75020B6B" w:rsidR="00A64A73">
              <w:rPr>
                <w:rFonts w:ascii="Calibri" w:hAnsi="Calibri" w:cs="" w:asciiTheme="minorAscii" w:hAnsiTheme="minorAscii" w:cstheme="minorBidi"/>
              </w:rPr>
              <w:t xml:space="preserve"> </w:t>
            </w:r>
            <w:r w:rsidRPr="75020B6B" w:rsidR="00A64A73">
              <w:rPr>
                <w:rFonts w:ascii="Calibri" w:hAnsi="Calibri" w:cs="" w:asciiTheme="minorAscii" w:hAnsiTheme="minorAscii" w:cstheme="minorBidi"/>
              </w:rPr>
              <w:t xml:space="preserve">Rd, it is proposed to close this level crossing and cul-de-sac Spann’s Road, either side of the rail corridor. </w:t>
            </w:r>
            <w:r w:rsidRPr="75020B6B" w:rsidR="00A64A73">
              <w:rPr>
                <w:rFonts w:ascii="Calibri" w:hAnsi="Calibri" w:cs="" w:asciiTheme="minorAscii" w:hAnsiTheme="minorAscii" w:cstheme="minorBidi"/>
              </w:rPr>
              <w:t>In order to</w:t>
            </w:r>
            <w:r w:rsidRPr="75020B6B" w:rsidR="00A64A73">
              <w:rPr>
                <w:rFonts w:ascii="Calibri" w:hAnsi="Calibri" w:cs="" w:asciiTheme="minorAscii" w:hAnsiTheme="minorAscii" w:cstheme="minorBidi"/>
              </w:rPr>
              <w:t xml:space="preserve"> maintain flood immunity of residential areas currently serviced by </w:t>
            </w:r>
            <w:proofErr w:type="spellStart"/>
            <w:r w:rsidRPr="75020B6B" w:rsidR="00A64A73">
              <w:rPr>
                <w:rFonts w:ascii="Calibri" w:hAnsi="Calibri" w:cs="" w:asciiTheme="minorAscii" w:hAnsiTheme="minorAscii" w:cstheme="minorBidi"/>
              </w:rPr>
              <w:t>Spanns</w:t>
            </w:r>
            <w:proofErr w:type="spellEnd"/>
            <w:r w:rsidRPr="75020B6B" w:rsidR="00A64A73">
              <w:rPr>
                <w:rFonts w:ascii="Calibri" w:hAnsi="Calibri" w:cs="" w:asciiTheme="minorAscii" w:hAnsiTheme="minorAscii" w:cstheme="minorBidi"/>
              </w:rPr>
              <w:t xml:space="preserve"> Road, some local road works will need to raise existing levels to provide flood immunity.  This key feature has been included as part of the 'proposed action' as no grade separation works are proposed following the removal of the level crossing.  </w:t>
            </w:r>
          </w:p>
        </w:tc>
      </w:tr>
      <w:tr w:rsidR="4EA1270A" w:rsidTr="4EA1270A" w14:paraId="1F80545D">
        <w:tc>
          <w:tcPr>
            <w:tcW w:w="6901" w:type="dxa"/>
            <w:tcMar/>
          </w:tcPr>
          <w:p w:rsidR="7C38E9F4" w:rsidP="4EA1270A" w:rsidRDefault="7C38E9F4" w14:paraId="43E64F19" w14:textId="517E219B">
            <w:pPr>
              <w:pStyle w:val="Normal"/>
              <w:spacing w:line="259" w:lineRule="auto"/>
            </w:pPr>
            <w:r w:rsidRPr="4EA1270A" w:rsidR="7C38E9F4">
              <w:rPr>
                <w:rFonts w:ascii="Calibri" w:hAnsi="Calibri" w:eastAsia="Calibri" w:cs="Calibri"/>
                <w:noProof w:val="0"/>
                <w:sz w:val="22"/>
                <w:szCs w:val="22"/>
                <w:lang w:val="en-AU"/>
              </w:rPr>
              <w:t>Removal of a rail level crossing at Trinder Park</w:t>
            </w:r>
          </w:p>
        </w:tc>
        <w:tc>
          <w:tcPr>
            <w:tcW w:w="6939" w:type="dxa"/>
            <w:tcMar/>
          </w:tcPr>
          <w:p w:rsidR="7C38E9F4" w:rsidP="4EA1270A" w:rsidRDefault="7C38E9F4" w14:paraId="244E1090" w14:textId="3765DAC6">
            <w:pPr>
              <w:pStyle w:val="Normal"/>
              <w:spacing w:line="259" w:lineRule="auto"/>
            </w:pPr>
            <w:r w:rsidRPr="4EA1270A" w:rsidR="7C38E9F4">
              <w:rPr>
                <w:rFonts w:ascii="Calibri" w:hAnsi="Calibri" w:eastAsia="Calibri" w:cs="Calibri"/>
                <w:noProof w:val="0"/>
                <w:sz w:val="22"/>
                <w:szCs w:val="22"/>
                <w:lang w:val="en-AU"/>
              </w:rPr>
              <w:t>Removal of the existing rail level crossing near Trinder Park within the rail corridor. A new grade-separated road connection will be provided closer to the relocated Trinder Park Station.</w:t>
            </w:r>
          </w:p>
        </w:tc>
      </w:tr>
      <w:tr w:rsidR="4EA1270A" w:rsidTr="4EA1270A" w14:paraId="52634FA8">
        <w:tc>
          <w:tcPr>
            <w:tcW w:w="6901" w:type="dxa"/>
            <w:tcMar/>
          </w:tcPr>
          <w:p w:rsidR="7C38E9F4" w:rsidP="4EA1270A" w:rsidRDefault="7C38E9F4" w14:paraId="651415DA" w14:textId="1B80286C">
            <w:pPr>
              <w:pStyle w:val="Normal"/>
              <w:spacing w:line="259" w:lineRule="auto"/>
            </w:pPr>
            <w:r w:rsidRPr="4EA1270A" w:rsidR="7C38E9F4">
              <w:rPr>
                <w:rFonts w:ascii="Calibri" w:hAnsi="Calibri" w:eastAsia="Calibri" w:cs="Calibri"/>
                <w:noProof w:val="0"/>
                <w:sz w:val="22"/>
                <w:szCs w:val="22"/>
                <w:lang w:val="en-AU"/>
              </w:rPr>
              <w:t>Removal of a rail level crossing at Holmview Road</w:t>
            </w:r>
          </w:p>
        </w:tc>
        <w:tc>
          <w:tcPr>
            <w:tcW w:w="6939" w:type="dxa"/>
            <w:tcMar/>
          </w:tcPr>
          <w:p w:rsidR="7C38E9F4" w:rsidP="4EA1270A" w:rsidRDefault="7C38E9F4" w14:paraId="1901BF20" w14:textId="718D2C00">
            <w:pPr>
              <w:pStyle w:val="Normal"/>
              <w:spacing w:line="259" w:lineRule="auto"/>
            </w:pPr>
            <w:r w:rsidRPr="4EA1270A" w:rsidR="7C38E9F4">
              <w:rPr>
                <w:rFonts w:ascii="Calibri" w:hAnsi="Calibri" w:eastAsia="Calibri" w:cs="Calibri"/>
                <w:noProof w:val="0"/>
                <w:sz w:val="22"/>
                <w:szCs w:val="22"/>
                <w:lang w:val="en-AU"/>
              </w:rPr>
              <w:t>Removal of the existing rail level crossing at Holmview Road within the rail corridor. The road either side of the level crossing will be permanently closed and formed as a ‘cul-de-sac’ with turning area provided for vehicles.</w:t>
            </w:r>
          </w:p>
        </w:tc>
      </w:tr>
    </w:tbl>
    <w:p w:rsidRPr="001B3CEC" w:rsidR="00A64A73" w:rsidP="00A64A73" w:rsidRDefault="00A64A73" w14:paraId="5A092E09" w14:textId="77777777">
      <w:pPr>
        <w:spacing w:after="160" w:line="259" w:lineRule="auto"/>
        <w:ind w:left="720"/>
        <w:rPr>
          <w:rFonts w:asciiTheme="minorHAnsi" w:hAnsiTheme="minorHAnsi" w:cstheme="minorBidi"/>
        </w:rPr>
      </w:pPr>
    </w:p>
    <w:p w:rsidRPr="001B3CEC" w:rsidR="00A64A73" w:rsidP="00A64A73" w:rsidRDefault="00A64A73" w14:paraId="2D37F074" w14:textId="77777777">
      <w:pPr>
        <w:spacing w:before="60"/>
        <w:rPr>
          <w:rFonts w:asciiTheme="minorHAnsi" w:hAnsiTheme="minorHAnsi" w:cstheme="minorHAnsi"/>
          <w:b/>
          <w:bCs/>
          <w:sz w:val="28"/>
          <w:szCs w:val="28"/>
        </w:rPr>
        <w:sectPr w:rsidRPr="001B3CEC" w:rsidR="00A64A73" w:rsidSect="0046338E">
          <w:pgSz w:w="16838" w:h="11906" w:orient="landscape"/>
          <w:pgMar w:top="1417" w:right="1134" w:bottom="1417" w:left="1134" w:header="454" w:footer="454" w:gutter="0"/>
          <w:cols w:space="708"/>
          <w:titlePg/>
          <w:docGrid w:linePitch="360"/>
        </w:sectPr>
      </w:pPr>
      <w:r w:rsidRPr="001B3CEC">
        <w:rPr>
          <w:rFonts w:asciiTheme="minorHAnsi" w:hAnsiTheme="minorHAnsi" w:cstheme="minorHAnsi"/>
          <w:b/>
          <w:bCs/>
          <w:sz w:val="28"/>
          <w:szCs w:val="28"/>
        </w:rPr>
        <w:br w:type="page"/>
      </w:r>
    </w:p>
    <w:p w:rsidR="00CD0960" w:rsidP="00407AF5" w:rsidRDefault="00A64A73" w14:paraId="5040BF56" w14:textId="77777777">
      <w:pPr>
        <w:pStyle w:val="BodyText"/>
      </w:pPr>
    </w:p>
    <w:sectPr w:rsidR="00CD0960" w:rsidSect="00A64A73">
      <w:pgSz w:w="16838" w:h="11906" w:orient="landscape"/>
      <w:pgMar w:top="1417" w:right="1134" w:bottom="1417" w:left="1134" w:header="454"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92AD01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CACD06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FB800C96"/>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EA34785A"/>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8"/>
    <w:multiLevelType w:val="singleLevel"/>
    <w:tmpl w:val="22BE387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8C3A1B2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49E0258"/>
    <w:multiLevelType w:val="singleLevel"/>
    <w:tmpl w:val="EFBA5160"/>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7" w15:restartNumberingAfterBreak="0">
    <w:nsid w:val="50A62B7A"/>
    <w:multiLevelType w:val="multilevel"/>
    <w:tmpl w:val="698ECCDA"/>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8" w15:restartNumberingAfterBreak="0">
    <w:nsid w:val="65FE7C2B"/>
    <w:multiLevelType w:val="singleLevel"/>
    <w:tmpl w:val="5C12A3F8"/>
    <w:name w:val="Bullet List 1"/>
    <w:lvl w:ilvl="0">
      <w:start w:val="1"/>
      <w:numFmt w:val="bullet"/>
      <w:lvlRestart w:val="0"/>
      <w:pStyle w:val="ListBullet"/>
      <w:lvlText w:val=""/>
      <w:lvlJc w:val="left"/>
      <w:pPr>
        <w:tabs>
          <w:tab w:val="num" w:pos="567"/>
        </w:tabs>
        <w:ind w:left="567" w:hanging="567"/>
      </w:pPr>
      <w:rPr>
        <w:rFonts w:hint="default" w:ascii="Symbol" w:hAnsi="Symbol"/>
      </w:rPr>
    </w:lvl>
  </w:abstractNum>
  <w:abstractNum w:abstractNumId="9" w15:restartNumberingAfterBreak="0">
    <w:nsid w:val="66161B14"/>
    <w:multiLevelType w:val="singleLevel"/>
    <w:tmpl w:val="24F05E3E"/>
    <w:name w:val="Bullet List 3"/>
    <w:lvl w:ilvl="0">
      <w:start w:val="1"/>
      <w:numFmt w:val="bullet"/>
      <w:lvlRestart w:val="0"/>
      <w:pStyle w:val="ListBullet3"/>
      <w:lvlText w:val=""/>
      <w:lvlJc w:val="left"/>
      <w:pPr>
        <w:tabs>
          <w:tab w:val="num" w:pos="1701"/>
        </w:tabs>
        <w:ind w:left="1701" w:hanging="567"/>
      </w:pPr>
      <w:rPr>
        <w:rFonts w:hint="default" w:ascii="Wingdings" w:hAnsi="Wingdings"/>
      </w:rPr>
    </w:lvl>
  </w:abstractNum>
  <w:num w:numId="1">
    <w:abstractNumId w:val="4"/>
  </w:num>
  <w:num w:numId="2">
    <w:abstractNumId w:val="7"/>
  </w:num>
  <w:num w:numId="3">
    <w:abstractNumId w:val="1"/>
  </w:num>
  <w:num w:numId="4">
    <w:abstractNumId w:val="0"/>
  </w:num>
  <w:num w:numId="5">
    <w:abstractNumId w:val="5"/>
  </w:num>
  <w:num w:numId="6">
    <w:abstractNumId w:val="8"/>
  </w:num>
  <w:num w:numId="7">
    <w:abstractNumId w:val="3"/>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73"/>
    <w:rsid w:val="00407AF5"/>
    <w:rsid w:val="00A02D1B"/>
    <w:rsid w:val="00A05944"/>
    <w:rsid w:val="00A64A73"/>
    <w:rsid w:val="20F264DE"/>
    <w:rsid w:val="313D8F94"/>
    <w:rsid w:val="4EA1270A"/>
    <w:rsid w:val="6F3CA088"/>
    <w:rsid w:val="75020B6B"/>
    <w:rsid w:val="7C38E9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C2D0"/>
  <w15:chartTrackingRefBased/>
  <w15:docId w15:val="{10F51E62-01B2-4234-8050-6E5C924A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4A73"/>
    <w:pPr>
      <w:spacing w:after="0" w:line="240" w:lineRule="auto"/>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unhideWhenUsed/>
    <w:rsid w:val="00407AF5"/>
    <w:pPr>
      <w:spacing w:after="120" w:line="300" w:lineRule="atLeast"/>
    </w:pPr>
  </w:style>
  <w:style w:type="character" w:styleId="BodyTextChar" w:customStyle="1">
    <w:name w:val="Body Text Char"/>
    <w:basedOn w:val="DefaultParagraphFont"/>
    <w:link w:val="BodyText"/>
    <w:uiPriority w:val="99"/>
    <w:rsid w:val="00407AF5"/>
    <w:rPr>
      <w:rFonts w:ascii="Arial" w:hAnsi="Arial" w:cs="Arial"/>
    </w:rPr>
  </w:style>
  <w:style w:type="paragraph" w:styleId="Footer">
    <w:name w:val="footer"/>
    <w:basedOn w:val="BodyText"/>
    <w:link w:val="FooterChar"/>
    <w:uiPriority w:val="99"/>
    <w:semiHidden/>
    <w:unhideWhenUsed/>
    <w:rsid w:val="00407AF5"/>
    <w:pPr>
      <w:tabs>
        <w:tab w:val="center" w:pos="4536"/>
        <w:tab w:val="right" w:pos="9072"/>
      </w:tabs>
      <w:spacing w:after="0" w:line="240" w:lineRule="auto"/>
    </w:pPr>
    <w:rPr>
      <w:sz w:val="15"/>
    </w:rPr>
  </w:style>
  <w:style w:type="character" w:styleId="FooterChar" w:customStyle="1">
    <w:name w:val="Footer Char"/>
    <w:basedOn w:val="DefaultParagraphFont"/>
    <w:link w:val="Footer"/>
    <w:uiPriority w:val="99"/>
    <w:semiHidden/>
    <w:rsid w:val="00407AF5"/>
    <w:rPr>
      <w:rFonts w:ascii="Arial" w:hAnsi="Arial" w:cs="Arial"/>
      <w:sz w:val="15"/>
    </w:rPr>
  </w:style>
  <w:style w:type="paragraph" w:styleId="Header">
    <w:name w:val="header"/>
    <w:basedOn w:val="BodyText"/>
    <w:link w:val="HeaderChar"/>
    <w:uiPriority w:val="99"/>
    <w:semiHidden/>
    <w:unhideWhenUsed/>
    <w:rsid w:val="00407AF5"/>
    <w:pPr>
      <w:tabs>
        <w:tab w:val="center" w:pos="4536"/>
        <w:tab w:val="right" w:pos="9072"/>
      </w:tabs>
      <w:spacing w:after="0" w:line="240" w:lineRule="auto"/>
    </w:pPr>
    <w:rPr>
      <w:sz w:val="15"/>
    </w:rPr>
  </w:style>
  <w:style w:type="character" w:styleId="HeaderChar" w:customStyle="1">
    <w:name w:val="Header Char"/>
    <w:basedOn w:val="DefaultParagraphFont"/>
    <w:link w:val="Header"/>
    <w:uiPriority w:val="99"/>
    <w:semiHidden/>
    <w:rsid w:val="00407AF5"/>
    <w:rPr>
      <w:rFonts w:ascii="Arial" w:hAnsi="Arial" w:cs="Arial"/>
      <w:sz w:val="15"/>
    </w:rPr>
  </w:style>
  <w:style w:type="paragraph" w:styleId="Header2" w:customStyle="1">
    <w:name w:val="Header 2"/>
    <w:basedOn w:val="Header"/>
    <w:link w:val="Header2Char"/>
    <w:rsid w:val="00407AF5"/>
    <w:pPr>
      <w:pBdr>
        <w:bottom w:val="single" w:color="auto" w:sz="4" w:space="4"/>
      </w:pBdr>
    </w:pPr>
  </w:style>
  <w:style w:type="character" w:styleId="Header2Char" w:customStyle="1">
    <w:name w:val="Header 2 Char"/>
    <w:basedOn w:val="DefaultParagraphFont"/>
    <w:link w:val="Header2"/>
    <w:rsid w:val="00407AF5"/>
    <w:rPr>
      <w:rFonts w:ascii="Arial" w:hAnsi="Arial" w:cs="Arial"/>
      <w:sz w:val="15"/>
    </w:rPr>
  </w:style>
  <w:style w:type="paragraph" w:styleId="Footer2" w:customStyle="1">
    <w:name w:val="Footer 2"/>
    <w:basedOn w:val="Footer"/>
    <w:link w:val="Footer2Char"/>
    <w:rsid w:val="00407AF5"/>
    <w:pPr>
      <w:pBdr>
        <w:top w:val="single" w:color="auto" w:sz="4" w:space="4"/>
      </w:pBdr>
    </w:pPr>
  </w:style>
  <w:style w:type="character" w:styleId="Footer2Char" w:customStyle="1">
    <w:name w:val="Footer 2 Char"/>
    <w:basedOn w:val="DefaultParagraphFont"/>
    <w:link w:val="Footer2"/>
    <w:rsid w:val="00407AF5"/>
    <w:rPr>
      <w:rFonts w:ascii="Arial" w:hAnsi="Arial" w:cs="Arial"/>
      <w:sz w:val="15"/>
    </w:rPr>
  </w:style>
  <w:style w:type="paragraph" w:styleId="ListNumber">
    <w:name w:val="List Number"/>
    <w:basedOn w:val="BodyText"/>
    <w:uiPriority w:val="99"/>
    <w:semiHidden/>
    <w:unhideWhenUsed/>
    <w:rsid w:val="00407AF5"/>
    <w:pPr>
      <w:numPr>
        <w:numId w:val="2"/>
      </w:numPr>
      <w:contextualSpacing/>
    </w:pPr>
  </w:style>
  <w:style w:type="paragraph" w:styleId="ListNumber2">
    <w:name w:val="List Number 2"/>
    <w:basedOn w:val="BodyText"/>
    <w:uiPriority w:val="99"/>
    <w:semiHidden/>
    <w:unhideWhenUsed/>
    <w:rsid w:val="00407AF5"/>
    <w:pPr>
      <w:numPr>
        <w:ilvl w:val="1"/>
        <w:numId w:val="2"/>
      </w:numPr>
      <w:contextualSpacing/>
    </w:pPr>
  </w:style>
  <w:style w:type="paragraph" w:styleId="ListNumber3">
    <w:name w:val="List Number 3"/>
    <w:basedOn w:val="BodyText"/>
    <w:uiPriority w:val="99"/>
    <w:semiHidden/>
    <w:unhideWhenUsed/>
    <w:rsid w:val="00407AF5"/>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407AF5"/>
    <w:pPr>
      <w:numPr>
        <w:numId w:val="6"/>
      </w:numPr>
      <w:contextualSpacing/>
    </w:pPr>
  </w:style>
  <w:style w:type="paragraph" w:styleId="ListBullet2">
    <w:name w:val="List Bullet 2"/>
    <w:basedOn w:val="BodyText"/>
    <w:uiPriority w:val="99"/>
    <w:semiHidden/>
    <w:unhideWhenUsed/>
    <w:rsid w:val="00407AF5"/>
    <w:pPr>
      <w:numPr>
        <w:numId w:val="8"/>
      </w:numPr>
      <w:contextualSpacing/>
    </w:pPr>
  </w:style>
  <w:style w:type="paragraph" w:styleId="ListBullet3">
    <w:name w:val="List Bullet 3"/>
    <w:basedOn w:val="BodyText"/>
    <w:uiPriority w:val="99"/>
    <w:semiHidden/>
    <w:unhideWhenUsed/>
    <w:rsid w:val="00407AF5"/>
    <w:pPr>
      <w:numPr>
        <w:numId w:val="10"/>
      </w:numPr>
      <w:contextualSpacing/>
    </w:pPr>
  </w:style>
  <w:style w:type="paragraph" w:styleId="EnvelopeAddress">
    <w:name w:val="envelope address"/>
    <w:basedOn w:val="BodyText"/>
    <w:uiPriority w:val="99"/>
    <w:semiHidden/>
    <w:unhideWhenUsed/>
    <w:rsid w:val="00407AF5"/>
    <w:pPr>
      <w:framePr w:w="7920" w:h="1980" w:hSpace="180" w:wrap="auto" w:hAnchor="page" w:xAlign="center" w:yAlign="bottom" w:hRule="exact"/>
      <w:spacing w:after="0"/>
      <w:ind w:left="2880"/>
    </w:pPr>
    <w:rPr>
      <w:rFonts w:ascii="Times New Roman" w:hAnsi="Times New Roman" w:cs="Times New Roman" w:eastAsiaTheme="majorEastAsia"/>
      <w:szCs w:val="24"/>
    </w:rPr>
  </w:style>
  <w:style w:type="table" w:styleId="TableGrid">
    <w:name w:val="Table Grid"/>
    <w:basedOn w:val="TableNormal"/>
    <w:uiPriority w:val="39"/>
    <w:rsid w:val="00A64A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AE1762D581A43A92E6C916D07AB2A" ma:contentTypeVersion="4" ma:contentTypeDescription="Create a new document." ma:contentTypeScope="" ma:versionID="aa362c502b13b4cf8713075275af2cb8">
  <xsd:schema xmlns:xsd="http://www.w3.org/2001/XMLSchema" xmlns:xs="http://www.w3.org/2001/XMLSchema" xmlns:p="http://schemas.microsoft.com/office/2006/metadata/properties" xmlns:ns2="14fb97d2-8f2a-4cf6-a476-390d0df568e4" xmlns:ns3="80846b52-961d-4faa-a727-f0cd65192874" xmlns:ns4="e8238601-ce47-4778-85d0-8b1d6564965a" targetNamespace="http://schemas.microsoft.com/office/2006/metadata/properties" ma:root="true" ma:fieldsID="458e0e2d2b40b25840a379d700481d7d" ns2:_="" ns3:_="" ns4:_="">
    <xsd:import namespace="14fb97d2-8f2a-4cf6-a476-390d0df568e4"/>
    <xsd:import namespace="80846b52-961d-4faa-a727-f0cd65192874"/>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b97d2-8f2a-4cf6-a476-390d0df56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46b52-961d-4faa-a727-f0cd65192874"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7b5bd6-20d9-44e8-954e-648a5a400a19}" ma:internalName="TaxCatchAll" ma:showField="CatchAllData" ma:web="41377ad6-8c8d-4e1e-b06c-fab071358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46b52-961d-4faa-a727-f0cd65192874">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4A4142DD-4125-462A-A106-D5A848204B22}"/>
</file>

<file path=customXml/itemProps2.xml><?xml version="1.0" encoding="utf-8"?>
<ds:datastoreItem xmlns:ds="http://schemas.openxmlformats.org/officeDocument/2006/customXml" ds:itemID="{4A1FBCF7-25F0-4CEF-BB17-7E841CEF21B4}"/>
</file>

<file path=customXml/itemProps3.xml><?xml version="1.0" encoding="utf-8"?>
<ds:datastoreItem xmlns:ds="http://schemas.openxmlformats.org/officeDocument/2006/customXml" ds:itemID="{FAD76621-4A35-42F8-ADC4-2851DD2457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Lynnell W Davis</dc:creator>
  <cp:keywords/>
  <dc:description/>
  <cp:lastModifiedBy>Lynnell W Davis</cp:lastModifiedBy>
  <cp:revision>4</cp:revision>
  <dcterms:created xsi:type="dcterms:W3CDTF">2022-11-17T03:24:00Z</dcterms:created>
  <dcterms:modified xsi:type="dcterms:W3CDTF">2022-11-28T05:37:43Z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0x010100E79AE1762D581A43A92E6C916D07AB2A</vt:lpwstr>
  </property>
  <property fmtid="{D5CDD505-2E9C-101B-9397-08002B2CF9AE}" pid="3" name="MediaServiceImageTags">
    <vt:lpwstr/>
  </property>
  <property fmtid="{D5CDD505-2E9C-101B-9397-08002B2CF9AE}" pid="4" name="Link">
    <vt:lpwstr>, </vt:lpwstr>
  </property>
  <property fmtid="{D5CDD505-2E9C-101B-9397-08002B2CF9AE}" pid="5" name="Brief Description">
    <vt:lpwstr>Additional information to describe the proposed action.</vt:lpwstr>
  </property>
  <property fmtid="{D5CDD505-2E9C-101B-9397-08002B2CF9AE}" pid="10" name="Sensitive">
    <vt:lpwstr>No</vt:lpwstr>
  </property>
  <property fmtid="{D5CDD505-2E9C-101B-9397-08002B2CF9AE}" pid="12" name="Document Type">
    <vt:lpwstr>Referral</vt:lpwstr>
  </property>
  <property fmtid="{D5CDD505-2E9C-101B-9397-08002B2CF9AE}" pid="13" name="TaxCatchAll">
    <vt:lpwstr/>
  </property>
  <property fmtid="{D5CDD505-2E9C-101B-9397-08002B2CF9AE}" pid="14" name="lcf76f155ced4ddcb4097134ff3c332f">
    <vt:lpwstr/>
  </property>
  <property fmtid="{D5CDD505-2E9C-101B-9397-08002B2CF9AE}" pid="15" name="Order">
    <vt:r8>0</vt:r8>
  </property>
</Properties>
</file>